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Contrato de prestación de servicios tecnológicos y licencia de uso de LEX</w:t>
      </w:r>
    </w:p>
    <w:p>
      <w:pPr>
        <w:jc w:val="center"/>
      </w:pPr>
      <w:r>
        <w:rPr>
          <w:b/>
          <w:sz w:val="22"/>
        </w:rPr>
        <w:t>Modelo para contratación empresarial en México</w:t>
      </w:r>
    </w:p>
    <w:p>
      <w:r>
        <w:t>Este contrato define el servicio contratado, las obligaciones de las partes, las condiciones económicas, el uso permitido de la plataforma y el tratamiento operativo de la información. Deberá completarse junto con el Anexo A antes de su firma.</w:t>
      </w:r>
    </w:p>
    <w:p>
      <w:pPr>
        <w:pStyle w:val="Heading1"/>
      </w:pPr>
      <w:r>
        <w:t>Datos de las partes</w:t>
      </w:r>
    </w:p>
    <w:tbl>
      <w:tblPr>
        <w:tblW w:type="auto" w:w="0"/>
        <w:jc w:val="center"/>
        <w:tblLayout w:type="fixed"/>
        <w:tblLook w:firstColumn="1" w:firstRow="1" w:lastColumn="0" w:lastRow="0" w:noHBand="0" w:noVBand="1" w:val="04A0"/>
      </w:tblPr>
      <w:tblGrid>
        <w:gridCol w:w="3293"/>
        <w:gridCol w:w="3293"/>
        <w:gridCol w:w="3293"/>
      </w:tblGrid>
      <w:tr>
        <w:trPr>
          <w:tblHeader/>
        </w:trPr>
        <w:tc>
          <w:tcPr>
            <w:tcW w:type="dxa" w:w="2232"/>
            <w:vAlign w:val="center"/>
            <w:tcBorders>
              <w:top w:val="single" w:sz="4" w:color="D9D9D9"/>
              <w:left w:val="single" w:sz="4" w:color="D9D9D9"/>
              <w:bottom w:val="single" w:sz="4" w:color="D9D9D9"/>
              <w:right w:val="single" w:sz="4" w:color="D9D9D9"/>
              <w:insideH w:val="single" w:sz="4" w:color="D9D9D9"/>
              <w:insideV w:val="single" w:sz="4" w:color="D9D9D9"/>
            </w:tcBorders>
            <w:shd w:fill="17365D"/>
          </w:tcPr>
          <w:p>
            <w:pPr>
              <w:spacing w:after="0" w:before="0"/>
            </w:pPr>
            <w:r>
              <w:rPr>
                <w:b/>
                <w:color w:val="FFFFFF"/>
                <w:sz w:val="18"/>
              </w:rPr>
              <w:t>Dato</w:t>
            </w:r>
          </w:p>
        </w:tc>
        <w:tc>
          <w:tcPr>
            <w:tcW w:type="dxa" w:w="3672"/>
            <w:vAlign w:val="center"/>
            <w:tcBorders>
              <w:top w:val="single" w:sz="4" w:color="D9D9D9"/>
              <w:left w:val="single" w:sz="4" w:color="D9D9D9"/>
              <w:bottom w:val="single" w:sz="4" w:color="D9D9D9"/>
              <w:right w:val="single" w:sz="4" w:color="D9D9D9"/>
              <w:insideH w:val="single" w:sz="4" w:color="D9D9D9"/>
              <w:insideV w:val="single" w:sz="4" w:color="D9D9D9"/>
            </w:tcBorders>
            <w:shd w:fill="17365D"/>
          </w:tcPr>
          <w:p>
            <w:pPr>
              <w:spacing w:after="0" w:before="0"/>
            </w:pPr>
            <w:r>
              <w:rPr>
                <w:b/>
                <w:color w:val="FFFFFF"/>
                <w:sz w:val="18"/>
              </w:rPr>
              <w:t>Proveedor</w:t>
            </w:r>
          </w:p>
        </w:tc>
        <w:tc>
          <w:tcPr>
            <w:tcW w:type="dxa" w:w="3672"/>
            <w:vAlign w:val="center"/>
            <w:tcBorders>
              <w:top w:val="single" w:sz="4" w:color="D9D9D9"/>
              <w:left w:val="single" w:sz="4" w:color="D9D9D9"/>
              <w:bottom w:val="single" w:sz="4" w:color="D9D9D9"/>
              <w:right w:val="single" w:sz="4" w:color="D9D9D9"/>
              <w:insideH w:val="single" w:sz="4" w:color="D9D9D9"/>
              <w:insideV w:val="single" w:sz="4" w:color="D9D9D9"/>
            </w:tcBorders>
            <w:shd w:fill="17365D"/>
          </w:tcPr>
          <w:p>
            <w:pPr>
              <w:spacing w:after="0" w:before="0"/>
            </w:pPr>
            <w:r>
              <w:rPr>
                <w:b/>
                <w:color w:val="FFFFFF"/>
                <w:sz w:val="18"/>
              </w:rPr>
              <w:t>Cliente</w:t>
            </w:r>
          </w:p>
        </w:tc>
      </w:tr>
      <w:tr>
        <w:tc>
          <w:tcPr>
            <w:tcW w:type="dxa" w:w="2232"/>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0" w:before="0"/>
            </w:pPr>
            <w:r>
              <w:rPr>
                <w:sz w:val="18"/>
              </w:rPr>
              <w:t>Nombre o razón social</w:t>
            </w:r>
          </w:p>
        </w:tc>
        <w:tc>
          <w:tcPr>
            <w:tcW w:type="dxa" w:w="3672"/>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0" w:before="0"/>
            </w:pPr>
            <w:r>
              <w:rPr>
                <w:sz w:val="18"/>
              </w:rPr>
              <w:t>________________________________</w:t>
            </w:r>
          </w:p>
        </w:tc>
        <w:tc>
          <w:tcPr>
            <w:tcW w:type="dxa" w:w="3672"/>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0" w:before="0"/>
            </w:pPr>
            <w:r>
              <w:rPr>
                <w:sz w:val="18"/>
              </w:rPr>
              <w:t>________________________________</w:t>
            </w:r>
          </w:p>
        </w:tc>
      </w:tr>
      <w:tr>
        <w:tc>
          <w:tcPr>
            <w:tcW w:type="dxa" w:w="2232"/>
            <w:vAlign w:val="center"/>
            <w:tcBorders>
              <w:top w:val="single" w:sz="4" w:color="D9D9D9"/>
              <w:left w:val="single" w:sz="4" w:color="D9D9D9"/>
              <w:bottom w:val="single" w:sz="4" w:color="D9D9D9"/>
              <w:right w:val="single" w:sz="4" w:color="D9D9D9"/>
              <w:insideH w:val="single" w:sz="4" w:color="D9D9D9"/>
              <w:insideV w:val="single" w:sz="4" w:color="D9D9D9"/>
            </w:tcBorders>
            <w:shd w:fill="F3F6FA"/>
          </w:tcPr>
          <w:p>
            <w:pPr>
              <w:spacing w:after="0" w:before="0"/>
            </w:pPr>
            <w:r>
              <w:rPr>
                <w:sz w:val="18"/>
              </w:rPr>
              <w:t>Nombre comercial</w:t>
            </w:r>
          </w:p>
        </w:tc>
        <w:tc>
          <w:tcPr>
            <w:tcW w:type="dxa" w:w="3672"/>
            <w:vAlign w:val="center"/>
            <w:tcBorders>
              <w:top w:val="single" w:sz="4" w:color="D9D9D9"/>
              <w:left w:val="single" w:sz="4" w:color="D9D9D9"/>
              <w:bottom w:val="single" w:sz="4" w:color="D9D9D9"/>
              <w:right w:val="single" w:sz="4" w:color="D9D9D9"/>
              <w:insideH w:val="single" w:sz="4" w:color="D9D9D9"/>
              <w:insideV w:val="single" w:sz="4" w:color="D9D9D9"/>
            </w:tcBorders>
            <w:shd w:fill="F3F6FA"/>
          </w:tcPr>
          <w:p>
            <w:pPr>
              <w:spacing w:after="0" w:before="0"/>
            </w:pPr>
            <w:r>
              <w:rPr>
                <w:sz w:val="18"/>
              </w:rPr>
              <w:t>LEX</w:t>
            </w:r>
          </w:p>
        </w:tc>
        <w:tc>
          <w:tcPr>
            <w:tcW w:type="dxa" w:w="3672"/>
            <w:vAlign w:val="center"/>
            <w:tcBorders>
              <w:top w:val="single" w:sz="4" w:color="D9D9D9"/>
              <w:left w:val="single" w:sz="4" w:color="D9D9D9"/>
              <w:bottom w:val="single" w:sz="4" w:color="D9D9D9"/>
              <w:right w:val="single" w:sz="4" w:color="D9D9D9"/>
              <w:insideH w:val="single" w:sz="4" w:color="D9D9D9"/>
              <w:insideV w:val="single" w:sz="4" w:color="D9D9D9"/>
            </w:tcBorders>
            <w:shd w:fill="F3F6FA"/>
          </w:tcPr>
          <w:p>
            <w:pPr>
              <w:spacing w:after="0" w:before="0"/>
            </w:pPr>
            <w:r>
              <w:rPr>
                <w:sz w:val="18"/>
              </w:rPr>
              <w:t>________________________________</w:t>
            </w:r>
          </w:p>
        </w:tc>
      </w:tr>
      <w:tr>
        <w:tc>
          <w:tcPr>
            <w:tcW w:type="dxa" w:w="2232"/>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0" w:before="0"/>
            </w:pPr>
            <w:r>
              <w:rPr>
                <w:sz w:val="18"/>
              </w:rPr>
              <w:t>RFC</w:t>
            </w:r>
          </w:p>
        </w:tc>
        <w:tc>
          <w:tcPr>
            <w:tcW w:type="dxa" w:w="3672"/>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0" w:before="0"/>
            </w:pPr>
            <w:r>
              <w:rPr>
                <w:sz w:val="18"/>
              </w:rPr>
              <w:t>________________________________</w:t>
            </w:r>
          </w:p>
        </w:tc>
        <w:tc>
          <w:tcPr>
            <w:tcW w:type="dxa" w:w="3672"/>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0" w:before="0"/>
            </w:pPr>
            <w:r>
              <w:rPr>
                <w:sz w:val="18"/>
              </w:rPr>
              <w:t>________________________________</w:t>
            </w:r>
          </w:p>
        </w:tc>
      </w:tr>
      <w:tr>
        <w:tc>
          <w:tcPr>
            <w:tcW w:type="dxa" w:w="2232"/>
            <w:vAlign w:val="center"/>
            <w:tcBorders>
              <w:top w:val="single" w:sz="4" w:color="D9D9D9"/>
              <w:left w:val="single" w:sz="4" w:color="D9D9D9"/>
              <w:bottom w:val="single" w:sz="4" w:color="D9D9D9"/>
              <w:right w:val="single" w:sz="4" w:color="D9D9D9"/>
              <w:insideH w:val="single" w:sz="4" w:color="D9D9D9"/>
              <w:insideV w:val="single" w:sz="4" w:color="D9D9D9"/>
            </w:tcBorders>
            <w:shd w:fill="F3F6FA"/>
          </w:tcPr>
          <w:p>
            <w:pPr>
              <w:spacing w:after="0" w:before="0"/>
            </w:pPr>
            <w:r>
              <w:rPr>
                <w:sz w:val="18"/>
              </w:rPr>
              <w:t>Domicilio</w:t>
            </w:r>
          </w:p>
        </w:tc>
        <w:tc>
          <w:tcPr>
            <w:tcW w:type="dxa" w:w="3672"/>
            <w:vAlign w:val="center"/>
            <w:tcBorders>
              <w:top w:val="single" w:sz="4" w:color="D9D9D9"/>
              <w:left w:val="single" w:sz="4" w:color="D9D9D9"/>
              <w:bottom w:val="single" w:sz="4" w:color="D9D9D9"/>
              <w:right w:val="single" w:sz="4" w:color="D9D9D9"/>
              <w:insideH w:val="single" w:sz="4" w:color="D9D9D9"/>
              <w:insideV w:val="single" w:sz="4" w:color="D9D9D9"/>
            </w:tcBorders>
            <w:shd w:fill="F3F6FA"/>
          </w:tcPr>
          <w:p>
            <w:pPr>
              <w:spacing w:after="0" w:before="0"/>
            </w:pPr>
            <w:r>
              <w:rPr>
                <w:sz w:val="18"/>
              </w:rPr>
              <w:t>________________________________</w:t>
            </w:r>
          </w:p>
        </w:tc>
        <w:tc>
          <w:tcPr>
            <w:tcW w:type="dxa" w:w="3672"/>
            <w:vAlign w:val="center"/>
            <w:tcBorders>
              <w:top w:val="single" w:sz="4" w:color="D9D9D9"/>
              <w:left w:val="single" w:sz="4" w:color="D9D9D9"/>
              <w:bottom w:val="single" w:sz="4" w:color="D9D9D9"/>
              <w:right w:val="single" w:sz="4" w:color="D9D9D9"/>
              <w:insideH w:val="single" w:sz="4" w:color="D9D9D9"/>
              <w:insideV w:val="single" w:sz="4" w:color="D9D9D9"/>
            </w:tcBorders>
            <w:shd w:fill="F3F6FA"/>
          </w:tcPr>
          <w:p>
            <w:pPr>
              <w:spacing w:after="0" w:before="0"/>
            </w:pPr>
            <w:r>
              <w:rPr>
                <w:sz w:val="18"/>
              </w:rPr>
              <w:t>________________________________</w:t>
            </w:r>
          </w:p>
        </w:tc>
      </w:tr>
      <w:tr>
        <w:tc>
          <w:tcPr>
            <w:tcW w:type="dxa" w:w="2232"/>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0" w:before="0"/>
            </w:pPr>
            <w:r>
              <w:rPr>
                <w:sz w:val="18"/>
              </w:rPr>
              <w:t>Representante</w:t>
            </w:r>
          </w:p>
        </w:tc>
        <w:tc>
          <w:tcPr>
            <w:tcW w:type="dxa" w:w="3672"/>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0" w:before="0"/>
            </w:pPr>
            <w:r>
              <w:rPr>
                <w:sz w:val="18"/>
              </w:rPr>
              <w:t>________________________________</w:t>
            </w:r>
          </w:p>
        </w:tc>
        <w:tc>
          <w:tcPr>
            <w:tcW w:type="dxa" w:w="3672"/>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0" w:before="0"/>
            </w:pPr>
            <w:r>
              <w:rPr>
                <w:sz w:val="18"/>
              </w:rPr>
              <w:t>________________________________</w:t>
            </w:r>
          </w:p>
        </w:tc>
      </w:tr>
      <w:tr>
        <w:tc>
          <w:tcPr>
            <w:tcW w:type="dxa" w:w="2232"/>
            <w:vAlign w:val="center"/>
            <w:tcBorders>
              <w:top w:val="single" w:sz="4" w:color="D9D9D9"/>
              <w:left w:val="single" w:sz="4" w:color="D9D9D9"/>
              <w:bottom w:val="single" w:sz="4" w:color="D9D9D9"/>
              <w:right w:val="single" w:sz="4" w:color="D9D9D9"/>
              <w:insideH w:val="single" w:sz="4" w:color="D9D9D9"/>
              <w:insideV w:val="single" w:sz="4" w:color="D9D9D9"/>
            </w:tcBorders>
            <w:shd w:fill="F3F6FA"/>
          </w:tcPr>
          <w:p>
            <w:pPr>
              <w:spacing w:after="0" w:before="0"/>
            </w:pPr>
            <w:r>
              <w:rPr>
                <w:sz w:val="18"/>
              </w:rPr>
              <w:t>Correo y teléfono</w:t>
            </w:r>
          </w:p>
        </w:tc>
        <w:tc>
          <w:tcPr>
            <w:tcW w:type="dxa" w:w="3672"/>
            <w:vAlign w:val="center"/>
            <w:tcBorders>
              <w:top w:val="single" w:sz="4" w:color="D9D9D9"/>
              <w:left w:val="single" w:sz="4" w:color="D9D9D9"/>
              <w:bottom w:val="single" w:sz="4" w:color="D9D9D9"/>
              <w:right w:val="single" w:sz="4" w:color="D9D9D9"/>
              <w:insideH w:val="single" w:sz="4" w:color="D9D9D9"/>
              <w:insideV w:val="single" w:sz="4" w:color="D9D9D9"/>
            </w:tcBorders>
            <w:shd w:fill="F3F6FA"/>
          </w:tcPr>
          <w:p>
            <w:pPr>
              <w:spacing w:after="0" w:before="0"/>
            </w:pPr>
            <w:r>
              <w:rPr>
                <w:sz w:val="18"/>
              </w:rPr>
              <w:t>contacto@lexasistente.com</w:t>
              <w:br/>
              <w:t>+52 56 5997 3049</w:t>
            </w:r>
          </w:p>
        </w:tc>
        <w:tc>
          <w:tcPr>
            <w:tcW w:type="dxa" w:w="3672"/>
            <w:vAlign w:val="center"/>
            <w:tcBorders>
              <w:top w:val="single" w:sz="4" w:color="D9D9D9"/>
              <w:left w:val="single" w:sz="4" w:color="D9D9D9"/>
              <w:bottom w:val="single" w:sz="4" w:color="D9D9D9"/>
              <w:right w:val="single" w:sz="4" w:color="D9D9D9"/>
              <w:insideH w:val="single" w:sz="4" w:color="D9D9D9"/>
              <w:insideV w:val="single" w:sz="4" w:color="D9D9D9"/>
            </w:tcBorders>
            <w:shd w:fill="F3F6FA"/>
          </w:tcPr>
          <w:p>
            <w:pPr>
              <w:spacing w:after="0" w:before="0"/>
            </w:pPr>
            <w:r>
              <w:rPr>
                <w:sz w:val="18"/>
              </w:rPr>
              <w:t>________________________________</w:t>
            </w:r>
          </w:p>
        </w:tc>
      </w:tr>
    </w:tbl>
    <w:p>
      <w:pPr>
        <w:spacing w:after="20"/>
      </w:pPr>
    </w:p>
    <w:p>
      <w:r>
        <w:t>Las personas identificadas anteriormente, en adelante el “Proveedor” y el “Cliente”, reconocen contar con capacidad suficiente para contratar y sujetarse a las siguientes declaraciones y cláusulas.</w:t>
      </w:r>
    </w:p>
    <w:p>
      <w:pPr>
        <w:pStyle w:val="Heading1"/>
      </w:pPr>
      <w:r>
        <w:t>Declaraciones</w:t>
      </w:r>
    </w:p>
    <w:p>
      <w:r>
        <w:t>I. Declara el Proveedor que desarrolla y opera LEX, una solución tecnológica configurable de asistencia virtual y administración para negocios, y que cuenta con facultades para otorgar su uso en los términos de este contrato.</w:t>
      </w:r>
    </w:p>
    <w:p>
      <w:r>
        <w:t>II. Declara el Cliente que conoce la naturaleza del servicio, que la información entregada para configurarlo es correcta y que utilizará la plataforma dentro de su actividad lícita y conforme a las reglas de los canales integrados.</w:t>
      </w:r>
    </w:p>
    <w:p>
      <w:r>
        <w:t>III. Ambas partes reconocen que LEX puede utilizar servicios independientes de mensajería, telefonía, inteligencia artificial, alojamiento, correo, dominios y procesamiento de pagos; por ello, ciertas funciones requieren cuentas, verificaciones y aprobaciones de terceros.</w:t>
      </w:r>
    </w:p>
    <w:p>
      <w:pPr>
        <w:pStyle w:val="Heading1"/>
      </w:pPr>
      <w:r>
        <w:t>Cláusulas</w:t>
      </w:r>
    </w:p>
    <w:p>
      <w:pPr>
        <w:pStyle w:val="Heading2"/>
      </w:pPr>
      <w:r>
        <w:t>1 Objeto</w:t>
      </w:r>
    </w:p>
    <w:p>
      <w:r>
        <w:t>El Proveedor concede al Cliente una licencia limitada, no exclusiva, no transferible y revocable para acceder a LEX durante la vigencia contratada, y prestará los servicios de configuración, operación y soporte descritos en el Anexo A. La licencia permite el uso interno por el Cliente y su personal autorizado; no transmite propiedad sobre el software ni sobre su código fuente.</w:t>
      </w:r>
    </w:p>
    <w:p>
      <w:pPr>
        <w:pStyle w:val="Heading2"/>
      </w:pPr>
      <w:r>
        <w:t>2 Alcance del servicio</w:t>
      </w:r>
    </w:p>
    <w:p>
      <w:r>
        <w:t>LEX podrá incluir, según el plan y los módulos contratados, atención automatizada por WhatsApp y llamadas, panel administrativo, conversaciones, clientes, productos, pedidos, citas, notificaciones, transferencia a personas, transcripción, reportes y personalización. Cualquier función, integración o volumen no señalado en el Anexo A queda fuera del alcance y requerirá aceptación de una cotización adicional.</w:t>
      </w:r>
    </w:p>
    <w:p>
      <w:pPr>
        <w:pStyle w:val="Heading2"/>
      </w:pPr>
      <w:r>
        <w:t>3 Implementación</w:t>
      </w:r>
    </w:p>
    <w:p>
      <w:r>
        <w:t>La implementación comenzará una vez recibido el pago inicial y la información necesaria. El Cliente entregará oportunamente identidad visual, horarios, productos, servicios, precios, políticas, guiones, números, permisos, cuentas y credenciales. Los plazos se ajustarán cuando falte información, el Cliente solicite cambios o una plataforma externa requiera revisión. La entrega se acreditará mediante pruebas, acceso al panel o acta de aceptación.</w:t>
      </w:r>
    </w:p>
    <w:p>
      <w:pPr>
        <w:pStyle w:val="Heading2"/>
      </w:pPr>
      <w:r>
        <w:t>4 Precio y forma de pago</w:t>
      </w:r>
    </w:p>
    <w:p>
      <w:r>
        <w:t>El Cliente pagará los importes y en las fechas indicadas en el Anexo A. Salvo pacto distinto, la instalación y configuración inicial tiene un precio de $700.00 MXN, o su equivalente en la moneda elegida para pagar, y la mensualidad se paga por adelantado. La cotización indicará los impuestos aplicables. No habrá cargos automáticos ni excedentes sin autorización, excepto cuando el Cliente haya otorgado un mandato de pago recurrente que pueda cancelar conforme a las reglas del procesador y la ley.</w:t>
      </w:r>
    </w:p>
    <w:p>
      <w:pPr>
        <w:pStyle w:val="Heading2"/>
      </w:pPr>
      <w:r>
        <w:t>5 Planes límites y excedentes</w:t>
      </w:r>
    </w:p>
    <w:p>
      <w:r>
        <w:t>El servicio está sujeto a los límites de conversaciones, notificaciones, minutos, almacenamiento, usuarios, canales y módulos establecidos en el Anexo A. Al alcanzar un límite, la función afectada podrá pausarse hasta el siguiente periodo o hasta que se autorice una ampliación. Los registros del sistema y, cuando corresponda, los del proveedor externo servirán para conciliar el consumo.</w:t>
      </w:r>
    </w:p>
    <w:p>
      <w:pPr>
        <w:pStyle w:val="Heading2"/>
      </w:pPr>
      <w:r>
        <w:t>6 Vigencia renovación y cancelación</w:t>
      </w:r>
    </w:p>
    <w:p>
      <w:r>
        <w:t>La vigencia inicial será la indicada en el Anexo A. Salvo acuerdo diferente, los periodos son mensuales y se renuevan con el pago del siguiente periodo. El Cliente podrá solicitar la no renovación antes del inicio del periodo siguiente. Los periodos ya iniciados y el trabajo de instalación ejecutado no son reembolsables, salvo incumplimiento atribuible al Proveedor o disposición legal obligatoria. La terminación no libera pagos devengados ni obligaciones que por su naturaleza deban subsistir.</w:t>
      </w:r>
    </w:p>
    <w:p>
      <w:pPr>
        <w:pStyle w:val="Heading2"/>
      </w:pPr>
      <w:r>
        <w:t>7 Suspensión</w:t>
      </w:r>
    </w:p>
    <w:p>
      <w:r>
        <w:t>El Proveedor podrá suspender total o parcialmente el servicio por falta de pago, fraude, spam, actividad ilícita, riesgo de seguridad, uso que afecte a terceros o incumplimiento de políticas de los canales. Cuando sea razonablemente posible, notificará al Cliente y permitirá corregir la causa. Las suspensiones impuestas por Meta, WhatsApp, Twilio, operadores u otros terceros estarán sujetas a sus procesos y tiempos.</w:t>
      </w:r>
    </w:p>
    <w:p>
      <w:pPr>
        <w:pStyle w:val="Heading2"/>
      </w:pPr>
      <w:r>
        <w:t>8 Obligaciones del Proveedor</w:t>
      </w:r>
    </w:p>
    <w:p>
      <w:pPr>
        <w:pStyle w:val="ListBullet"/>
        <w:spacing w:after="60"/>
      </w:pPr>
      <w:r>
        <w:t>Configurar y operar las funciones expresamente contratadas con diligencia razonable.</w:t>
      </w:r>
    </w:p>
    <w:p>
      <w:pPr>
        <w:pStyle w:val="ListBullet"/>
        <w:spacing w:after="60"/>
      </w:pPr>
      <w:r>
        <w:t>Aplicar controles técnicos y organizativos razonables para proteger la plataforma y los datos.</w:t>
      </w:r>
    </w:p>
    <w:p>
      <w:pPr>
        <w:pStyle w:val="ListBullet"/>
        <w:spacing w:after="60"/>
      </w:pPr>
      <w:r>
        <w:t>Prestar soporte conforme al plan y comunicar incidentes relevantes de los que tenga conocimiento.</w:t>
      </w:r>
    </w:p>
    <w:p>
      <w:pPr>
        <w:pStyle w:val="ListBullet"/>
        <w:spacing w:after="60"/>
      </w:pPr>
      <w:r>
        <w:t>Mantener confidencial la información del Cliente y usarla únicamente para prestar, asegurar y cumplir el servicio.</w:t>
      </w:r>
    </w:p>
    <w:p>
      <w:pPr>
        <w:pStyle w:val="Heading2"/>
      </w:pPr>
      <w:r>
        <w:t>9 Obligaciones del Cliente</w:t>
      </w:r>
    </w:p>
    <w:p>
      <w:pPr>
        <w:pStyle w:val="ListBullet"/>
        <w:spacing w:after="60"/>
      </w:pPr>
      <w:r>
        <w:t>Pagar puntualmente y mantener actualizados sus datos de contacto y facturación.</w:t>
      </w:r>
    </w:p>
    <w:p>
      <w:pPr>
        <w:pStyle w:val="ListBullet"/>
        <w:spacing w:after="60"/>
      </w:pPr>
      <w:r>
        <w:t>Proporcionar información verdadera y revisar precios, existencias, horarios, reglas y respuestas importantes.</w:t>
      </w:r>
    </w:p>
    <w:p>
      <w:pPr>
        <w:pStyle w:val="ListBullet"/>
        <w:spacing w:after="60"/>
      </w:pPr>
      <w:r>
        <w:t>Proteger usuarios, contraseñas, tokens y dispositivos, y avisar inmediatamente de cualquier compromiso.</w:t>
      </w:r>
    </w:p>
    <w:p>
      <w:pPr>
        <w:pStyle w:val="ListBullet"/>
        <w:spacing w:after="60"/>
      </w:pPr>
      <w:r>
        <w:t>Obtener los consentimientos necesarios para contactar personas y tratar sus datos.</w:t>
      </w:r>
    </w:p>
    <w:p>
      <w:pPr>
        <w:pStyle w:val="ListBullet"/>
        <w:spacing w:after="60"/>
      </w:pPr>
      <w:r>
        <w:t>Cumplir las leyes aplicables y las políticas de WhatsApp, Meta, telefonía y demás servicios conectados.</w:t>
      </w:r>
    </w:p>
    <w:p>
      <w:pPr>
        <w:pStyle w:val="Heading2"/>
      </w:pPr>
      <w:r>
        <w:t>10 Uso permitido y prohibiciones</w:t>
      </w:r>
    </w:p>
    <w:p>
      <w:r>
        <w:t>El Cliente no utilizará LEX para suplantación, engaño, acoso, discriminación, fraude, contenido malicioso, actividades ilícitas, mensajería no solicitada, violación de derechos de terceros o decisiones de alto impacto sin revisión humana adecuada. Tampoco intentará copiar, descompilar, vulnerar, revender o dar acceso no autorizado a la plataforma.</w:t>
      </w:r>
    </w:p>
    <w:p>
      <w:pPr>
        <w:pStyle w:val="Heading2"/>
      </w:pPr>
      <w:r>
        <w:t>11 Inteligencia artificial y revisión humana</w:t>
      </w:r>
    </w:p>
    <w:p>
      <w:r>
        <w:t>El Cliente reconoce que los sistemas automatizados pueden interpretar incorrectamente una solicitud o generar respuestas incompletas. Mantendrá rutas de atención humana y revisará operaciones sensibles. LEX no sustituye asesoría médica, jurídica, financiera ni profesional especializada. El Cliente decide qué procesos automatiza y conserva responsabilidad sobre su oferta, cumplimiento y decisiones comerciales.</w:t>
      </w:r>
    </w:p>
    <w:p>
      <w:pPr>
        <w:pStyle w:val="Heading2"/>
      </w:pPr>
      <w:r>
        <w:t>12 Servicios de terceros</w:t>
      </w:r>
    </w:p>
    <w:p>
      <w:r>
        <w:t>El servicio depende de proveedores independientes. Sus fallas, cambios de precio o política, verificaciones, límites, bloqueos o terminaciones pueden afectar funciones de LEX. El Proveedor ayudará razonablemente a diagnosticar y gestionar la integración, pero no controla ni garantiza las decisiones o disponibilidad continua de terceros. Los consumos externos no incluidos en el plan serán responsabilidad de la parte señalada en el Anexo A.</w:t>
      </w:r>
    </w:p>
    <w:p>
      <w:pPr>
        <w:pStyle w:val="Heading2"/>
      </w:pPr>
      <w:r>
        <w:t>13 Datos personales</w:t>
      </w:r>
    </w:p>
    <w:p>
      <w:r>
        <w:t>Respecto de los datos de usuarios finales que el Cliente incorpore o genere mediante LEX, el Cliente actúa normalmente como responsable y el Proveedor como encargado sujeto a instrucciones documentadas. El Cliente determinará finalidades, avisos, bases legales y conservación. El Proveedor tratará los datos para operar, soportar, proteger y cumplir el servicio; podrá apoyarse en subencargados tecnológicos y aplicará la Política de privacidad publicada en https://lexasistente.com/politica-privacidad. El Anexo B complementa estas obligaciones.</w:t>
      </w:r>
    </w:p>
    <w:p>
      <w:pPr>
        <w:pStyle w:val="Heading2"/>
      </w:pPr>
      <w:r>
        <w:t>14 Confidencialidad</w:t>
      </w:r>
    </w:p>
    <w:p>
      <w:r>
        <w:t>Cada parte protegerá la información no pública recibida de la otra con medidas al menos equivalentes a las empleadas para su propia información similar. Solo la revelará a personal, asesores o proveedores que necesiten conocerla y estén sujetos a deberes de protección, o cuando una autoridad competente lo exija. Esta obligación subsistirá por tres años después de terminar el contrato, y respecto de secretos industriales mientras conserven ese carácter.</w:t>
      </w:r>
    </w:p>
    <w:p>
      <w:pPr>
        <w:pStyle w:val="Heading2"/>
      </w:pPr>
      <w:r>
        <w:t>15 Conservación exportación y eliminación</w:t>
      </w:r>
    </w:p>
    <w:p>
      <w:r>
        <w:t>La conservación se sujetará al plan, al Anexo A, a la Política de privacidad y a obligaciones legales. Antes de terminar, el Cliente podrá solicitar una exportación razonable disponible. Posteriormente podrá pedir la eliminación, considerando tiempos técnicos, respaldos, prevención de fraude y obligaciones legales. El Cliente conservará los registros necesarios para su operación, contabilidad y cumplimiento.</w:t>
      </w:r>
    </w:p>
    <w:p>
      <w:pPr>
        <w:pStyle w:val="Heading2"/>
      </w:pPr>
      <w:r>
        <w:t>16 Propiedad intelectual</w:t>
      </w:r>
    </w:p>
    <w:p>
      <w:r>
        <w:t>LEX, su arquitectura, diseño base, marca, flujos generales, documentación y mejoras pertenecen al Proveedor o a sus licenciantes. El Cliente conserva sus marcas, contenidos y datos. Las configuraciones reutilizables y mejoras generales no serán exclusivas. Una cesión de código, desarrollo exclusivo o entrega de repositorio solo existirá mediante acuerdo escrito independiente.</w:t>
      </w:r>
    </w:p>
    <w:p>
      <w:pPr>
        <w:pStyle w:val="Heading2"/>
      </w:pPr>
      <w:r>
        <w:t>17 Disponibilidad mantenimiento y soporte</w:t>
      </w:r>
    </w:p>
    <w:p>
      <w:r>
        <w:t>El Proveedor realizará esfuerzos comercialmente razonables para mantener el servicio disponible. Podrá efectuar mantenimiento y actualizaciones de seguridad. No existe un nivel de servicio garantizado salvo que el Anexo A incluya métricas, exclusiones y remedios específicos. Los tiempos de respuesta del soporte no equivalen necesariamente al tiempo de solución.</w:t>
      </w:r>
    </w:p>
    <w:p>
      <w:pPr>
        <w:pStyle w:val="Heading2"/>
      </w:pPr>
      <w:r>
        <w:t>18 Garantía</w:t>
      </w:r>
    </w:p>
    <w:p>
      <w:r>
        <w:t>Durante la vigencia, el Proveedor corregirá en un plazo razonable errores reproducibles que impidan usar funciones expresamente contratadas. La garantía no cubre información incorrecta del Cliente, cambios no autorizados, conectividad, dispositivos, servicios externos, fuerza mayor o uso contrario a las instrucciones. Esta cláusula no limita garantías obligatorias aplicables.</w:t>
      </w:r>
    </w:p>
    <w:p>
      <w:pPr>
        <w:pStyle w:val="Heading2"/>
      </w:pPr>
      <w:r>
        <w:t>19 Responsabilidad</w:t>
      </w:r>
    </w:p>
    <w:p>
      <w:r>
        <w:t>Cada parte responderá por daños directos legalmente imputables. En la medida permitida por la ley, el Proveedor no responderá por ganancias esperadas, oportunidades perdidas, decisiones sin revisión humana ni daños indirectos derivados de terceros. La responsabilidad acumulada del Proveedor no excederá lo pagado por el Cliente durante los tres meses anteriores al hecho que origine la reclamación, excepto en casos de dolo, culpa grave, violación de confidencialidad o responsabilidad que no pueda limitarse legalmente.</w:t>
      </w:r>
    </w:p>
    <w:p>
      <w:pPr>
        <w:pStyle w:val="Heading2"/>
      </w:pPr>
      <w:r>
        <w:t>20 Reclamaciones y solución de controversias</w:t>
      </w:r>
    </w:p>
    <w:p>
      <w:r>
        <w:t>Las partes intentarán resolver de buena fe cualquier diferencia. Las reclamaciones se enviarán a contacto@lexasistente.com con descripción, fecha y evidencia disponible. El contrato se rige por las leyes de los Estados Unidos Mexicanos. Cuando corresponda una relación de consumo, el Cliente podrá acudir a PROFECO y conservará todos sus derechos irrenunciables. La competencia judicial se determinará conforme a la ley.</w:t>
      </w:r>
    </w:p>
    <w:p>
      <w:pPr>
        <w:pStyle w:val="Heading2"/>
      </w:pPr>
      <w:r>
        <w:t>21 Comunicaciones y aceptación electrónica</w:t>
      </w:r>
    </w:p>
    <w:p>
      <w:r>
        <w:t>Las partes reconocen validez a las comunicaciones y aceptaciones realizadas mediante firma, correo, WhatsApp, panel o formulario web que permitan identificar la operación. El registro podrá incluir versión de términos, fecha, cuenta, empresa, dirección IP y datos técnicos. La aceptación electrónica no impide solicitar una copia del contrato ni ejercer derechos legales.</w:t>
      </w:r>
    </w:p>
    <w:p>
      <w:pPr>
        <w:pStyle w:val="Heading2"/>
      </w:pPr>
      <w:r>
        <w:t>22 Disposiciones generales</w:t>
      </w:r>
    </w:p>
    <w:p>
      <w:r>
        <w:t>Este contrato, sus anexos, la orden de servicio y los Términos y condiciones publicados conforman el acuerdo. Las modificaciones materiales deberán constar por escrito o aceptarse electrónicamente. La falta de ejercicio de un derecho no implica renuncia. Si una disposición es inválida, las demás continuarán vigentes. Ninguna parte podrá ceder sus obligaciones principales sin consentimiento, salvo reorganización que mantenga las obligaciones.</w:t>
      </w:r>
    </w:p>
    <w:p>
      <w:r>
        <w:br w:type="page"/>
      </w:r>
    </w:p>
    <w:p>
      <w:pPr>
        <w:pStyle w:val="Heading1"/>
      </w:pPr>
      <w:r>
        <w:t>Anexo A Orden de servicio</w:t>
      </w:r>
    </w:p>
    <w:p>
      <w:r>
        <w:t>Este anexo debe completarse para cada Cliente y forma parte del contrato.</w:t>
      </w:r>
    </w:p>
    <w:tbl>
      <w:tblPr>
        <w:tblW w:type="auto" w:w="0"/>
        <w:jc w:val="center"/>
        <w:tblLayout w:type="fixed"/>
        <w:tblLook w:firstColumn="1" w:firstRow="1" w:lastColumn="0" w:lastRow="0" w:noHBand="0" w:noVBand="1" w:val="04A0"/>
      </w:tblPr>
      <w:tblGrid>
        <w:gridCol w:w="4939"/>
        <w:gridCol w:w="4939"/>
      </w:tblGrid>
      <w:tr>
        <w:trPr>
          <w:tblHeader/>
        </w:trPr>
        <w:tc>
          <w:tcPr>
            <w:tcW w:type="dxa" w:w="2592"/>
            <w:vAlign w:val="center"/>
            <w:tcBorders>
              <w:top w:val="single" w:sz="4" w:color="D9D9D9"/>
              <w:left w:val="single" w:sz="4" w:color="D9D9D9"/>
              <w:bottom w:val="single" w:sz="4" w:color="D9D9D9"/>
              <w:right w:val="single" w:sz="4" w:color="D9D9D9"/>
              <w:insideH w:val="single" w:sz="4" w:color="D9D9D9"/>
              <w:insideV w:val="single" w:sz="4" w:color="D9D9D9"/>
            </w:tcBorders>
            <w:shd w:fill="17365D"/>
          </w:tcPr>
          <w:p>
            <w:pPr>
              <w:spacing w:after="0" w:before="0"/>
            </w:pPr>
            <w:r>
              <w:rPr>
                <w:b/>
                <w:color w:val="FFFFFF"/>
                <w:sz w:val="18"/>
              </w:rPr>
              <w:t>Campo</w:t>
            </w:r>
          </w:p>
        </w:tc>
        <w:tc>
          <w:tcPr>
            <w:tcW w:type="dxa" w:w="7056"/>
            <w:vAlign w:val="center"/>
            <w:tcBorders>
              <w:top w:val="single" w:sz="4" w:color="D9D9D9"/>
              <w:left w:val="single" w:sz="4" w:color="D9D9D9"/>
              <w:bottom w:val="single" w:sz="4" w:color="D9D9D9"/>
              <w:right w:val="single" w:sz="4" w:color="D9D9D9"/>
              <w:insideH w:val="single" w:sz="4" w:color="D9D9D9"/>
              <w:insideV w:val="single" w:sz="4" w:color="D9D9D9"/>
            </w:tcBorders>
            <w:shd w:fill="17365D"/>
          </w:tcPr>
          <w:p>
            <w:pPr>
              <w:spacing w:after="0" w:before="0"/>
            </w:pPr>
            <w:r>
              <w:rPr>
                <w:b/>
                <w:color w:val="FFFFFF"/>
                <w:sz w:val="18"/>
              </w:rPr>
              <w:t>Selección o dato contratado</w:t>
            </w:r>
          </w:p>
        </w:tc>
      </w:tr>
      <w:tr>
        <w:tc>
          <w:tcPr>
            <w:tcW w:type="dxa" w:w="2592"/>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0" w:before="0"/>
            </w:pPr>
            <w:r>
              <w:rPr>
                <w:sz w:val="18"/>
              </w:rPr>
              <w:t>Plan</w:t>
            </w:r>
          </w:p>
        </w:tc>
        <w:tc>
          <w:tcPr>
            <w:tcW w:type="dxa" w:w="7056"/>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0" w:before="0"/>
            </w:pPr>
            <w:r>
              <w:rPr>
                <w:sz w:val="18"/>
              </w:rPr>
              <w:t>☐ LEX Esencial   ☐ LEX Negocio   ☐ LEX Pro   ☐ Personalizado</w:t>
            </w:r>
          </w:p>
        </w:tc>
      </w:tr>
      <w:tr>
        <w:tc>
          <w:tcPr>
            <w:tcW w:type="dxa" w:w="2592"/>
            <w:vAlign w:val="center"/>
            <w:tcBorders>
              <w:top w:val="single" w:sz="4" w:color="D9D9D9"/>
              <w:left w:val="single" w:sz="4" w:color="D9D9D9"/>
              <w:bottom w:val="single" w:sz="4" w:color="D9D9D9"/>
              <w:right w:val="single" w:sz="4" w:color="D9D9D9"/>
              <w:insideH w:val="single" w:sz="4" w:color="D9D9D9"/>
              <w:insideV w:val="single" w:sz="4" w:color="D9D9D9"/>
            </w:tcBorders>
            <w:shd w:fill="F3F6FA"/>
          </w:tcPr>
          <w:p>
            <w:pPr>
              <w:spacing w:after="0" w:before="0"/>
            </w:pPr>
            <w:r>
              <w:rPr>
                <w:sz w:val="18"/>
              </w:rPr>
              <w:t>Mensualidad</w:t>
            </w:r>
          </w:p>
        </w:tc>
        <w:tc>
          <w:tcPr>
            <w:tcW w:type="dxa" w:w="7056"/>
            <w:vAlign w:val="center"/>
            <w:tcBorders>
              <w:top w:val="single" w:sz="4" w:color="D9D9D9"/>
              <w:left w:val="single" w:sz="4" w:color="D9D9D9"/>
              <w:bottom w:val="single" w:sz="4" w:color="D9D9D9"/>
              <w:right w:val="single" w:sz="4" w:color="D9D9D9"/>
              <w:insideH w:val="single" w:sz="4" w:color="D9D9D9"/>
              <w:insideV w:val="single" w:sz="4" w:color="D9D9D9"/>
            </w:tcBorders>
            <w:shd w:fill="F3F6FA"/>
          </w:tcPr>
          <w:p>
            <w:pPr>
              <w:spacing w:after="0" w:before="0"/>
            </w:pPr>
            <w:r>
              <w:rPr>
                <w:sz w:val="18"/>
              </w:rPr>
              <w:t xml:space="preserve">$________________ ☐ MXN ☐ USD ☐ Otra: ______   ☐ IVA incluido   ☐ más IVA</w:t>
            </w:r>
          </w:p>
        </w:tc>
      </w:tr>
      <w:tr>
        <w:tc>
          <w:tcPr>
            <w:tcW w:type="dxa" w:w="2592"/>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0" w:before="0"/>
            </w:pPr>
            <w:r>
              <w:rPr>
                <w:sz w:val="18"/>
              </w:rPr>
              <w:t>Instalación</w:t>
            </w:r>
          </w:p>
        </w:tc>
        <w:tc>
          <w:tcPr>
            <w:tcW w:type="dxa" w:w="7056"/>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0" w:before="0"/>
            </w:pPr>
            <w:r>
              <w:rPr>
                <w:sz w:val="18"/>
              </w:rPr>
              <w:t>$________________ ☐ MXN ☐ USD ☐ Otra: ______, pago único</w:t>
            </w:r>
          </w:p>
        </w:tc>
      </w:tr>
      <w:tr>
        <w:tc>
          <w:tcPr>
            <w:tcW w:type="dxa" w:w="2592"/>
            <w:vAlign w:val="center"/>
            <w:tcBorders>
              <w:top w:val="single" w:sz="4" w:color="D9D9D9"/>
              <w:left w:val="single" w:sz="4" w:color="D9D9D9"/>
              <w:bottom w:val="single" w:sz="4" w:color="D9D9D9"/>
              <w:right w:val="single" w:sz="4" w:color="D9D9D9"/>
              <w:insideH w:val="single" w:sz="4" w:color="D9D9D9"/>
              <w:insideV w:val="single" w:sz="4" w:color="D9D9D9"/>
            </w:tcBorders>
            <w:shd w:fill="F3F6FA"/>
          </w:tcPr>
          <w:p>
            <w:pPr>
              <w:spacing w:after="0" w:before="0"/>
            </w:pPr>
            <w:r>
              <w:rPr>
                <w:sz w:val="18"/>
              </w:rPr>
              <w:t>Fecha de inicio</w:t>
            </w:r>
          </w:p>
        </w:tc>
        <w:tc>
          <w:tcPr>
            <w:tcW w:type="dxa" w:w="7056"/>
            <w:vAlign w:val="center"/>
            <w:tcBorders>
              <w:top w:val="single" w:sz="4" w:color="D9D9D9"/>
              <w:left w:val="single" w:sz="4" w:color="D9D9D9"/>
              <w:bottom w:val="single" w:sz="4" w:color="D9D9D9"/>
              <w:right w:val="single" w:sz="4" w:color="D9D9D9"/>
              <w:insideH w:val="single" w:sz="4" w:color="D9D9D9"/>
              <w:insideV w:val="single" w:sz="4" w:color="D9D9D9"/>
            </w:tcBorders>
            <w:shd w:fill="F3F6FA"/>
          </w:tcPr>
          <w:p>
            <w:pPr>
              <w:spacing w:after="0" w:before="0"/>
            </w:pPr>
            <w:r>
              <w:rPr>
                <w:sz w:val="18"/>
              </w:rPr>
              <w:t>____ / ____ / ______</w:t>
            </w:r>
          </w:p>
        </w:tc>
      </w:tr>
      <w:tr>
        <w:tc>
          <w:tcPr>
            <w:tcW w:type="dxa" w:w="2592"/>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0" w:before="0"/>
            </w:pPr>
            <w:r>
              <w:rPr>
                <w:sz w:val="18"/>
              </w:rPr>
              <w:t>Vigencia inicial</w:t>
            </w:r>
          </w:p>
        </w:tc>
        <w:tc>
          <w:tcPr>
            <w:tcW w:type="dxa" w:w="7056"/>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0" w:before="0"/>
            </w:pPr>
            <w:r>
              <w:rPr>
                <w:sz w:val="18"/>
              </w:rPr>
              <w:t>________________ meses</w:t>
            </w:r>
          </w:p>
        </w:tc>
      </w:tr>
      <w:tr>
        <w:tc>
          <w:tcPr>
            <w:tcW w:type="dxa" w:w="2592"/>
            <w:vAlign w:val="center"/>
            <w:tcBorders>
              <w:top w:val="single" w:sz="4" w:color="D9D9D9"/>
              <w:left w:val="single" w:sz="4" w:color="D9D9D9"/>
              <w:bottom w:val="single" w:sz="4" w:color="D9D9D9"/>
              <w:right w:val="single" w:sz="4" w:color="D9D9D9"/>
              <w:insideH w:val="single" w:sz="4" w:color="D9D9D9"/>
              <w:insideV w:val="single" w:sz="4" w:color="D9D9D9"/>
            </w:tcBorders>
            <w:shd w:fill="F3F6FA"/>
          </w:tcPr>
          <w:p>
            <w:pPr>
              <w:spacing w:after="0" w:before="0"/>
            </w:pPr>
            <w:r>
              <w:rPr>
                <w:sz w:val="18"/>
              </w:rPr>
              <w:t>Canales</w:t>
            </w:r>
          </w:p>
        </w:tc>
        <w:tc>
          <w:tcPr>
            <w:tcW w:type="dxa" w:w="7056"/>
            <w:vAlign w:val="center"/>
            <w:tcBorders>
              <w:top w:val="single" w:sz="4" w:color="D9D9D9"/>
              <w:left w:val="single" w:sz="4" w:color="D9D9D9"/>
              <w:bottom w:val="single" w:sz="4" w:color="D9D9D9"/>
              <w:right w:val="single" w:sz="4" w:color="D9D9D9"/>
              <w:insideH w:val="single" w:sz="4" w:color="D9D9D9"/>
              <w:insideV w:val="single" w:sz="4" w:color="D9D9D9"/>
            </w:tcBorders>
            <w:shd w:fill="F3F6FA"/>
          </w:tcPr>
          <w:p>
            <w:pPr>
              <w:spacing w:after="0" w:before="0"/>
            </w:pPr>
            <w:r>
              <w:rPr>
                <w:sz w:val="18"/>
              </w:rPr>
              <w:t>☐ WhatsApp   ☐ Llamadas   ☐ Otros: __________________</w:t>
            </w:r>
          </w:p>
        </w:tc>
      </w:tr>
      <w:tr>
        <w:tc>
          <w:tcPr>
            <w:tcW w:type="dxa" w:w="2592"/>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0" w:before="0"/>
            </w:pPr>
            <w:r>
              <w:rPr>
                <w:sz w:val="18"/>
              </w:rPr>
              <w:t>Módulos</w:t>
            </w:r>
          </w:p>
        </w:tc>
        <w:tc>
          <w:tcPr>
            <w:tcW w:type="dxa" w:w="7056"/>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0" w:before="0"/>
            </w:pPr>
            <w:r>
              <w:rPr>
                <w:sz w:val="18"/>
              </w:rPr>
              <w:t>☐ Conversaciones   ☐ Clientes   ☐ Productos   ☐ Pedidos   ☐ Citas   ☐ Configuración</w:t>
            </w:r>
          </w:p>
        </w:tc>
      </w:tr>
      <w:tr>
        <w:tc>
          <w:tcPr>
            <w:tcW w:type="dxa" w:w="2592"/>
            <w:vAlign w:val="center"/>
            <w:tcBorders>
              <w:top w:val="single" w:sz="4" w:color="D9D9D9"/>
              <w:left w:val="single" w:sz="4" w:color="D9D9D9"/>
              <w:bottom w:val="single" w:sz="4" w:color="D9D9D9"/>
              <w:right w:val="single" w:sz="4" w:color="D9D9D9"/>
              <w:insideH w:val="single" w:sz="4" w:color="D9D9D9"/>
              <w:insideV w:val="single" w:sz="4" w:color="D9D9D9"/>
            </w:tcBorders>
            <w:shd w:fill="F3F6FA"/>
          </w:tcPr>
          <w:p>
            <w:pPr>
              <w:spacing w:after="0" w:before="0"/>
            </w:pPr>
            <w:r>
              <w:rPr>
                <w:sz w:val="18"/>
              </w:rPr>
              <w:t>Usuarios autorizados</w:t>
            </w:r>
          </w:p>
        </w:tc>
        <w:tc>
          <w:tcPr>
            <w:tcW w:type="dxa" w:w="7056"/>
            <w:vAlign w:val="center"/>
            <w:tcBorders>
              <w:top w:val="single" w:sz="4" w:color="D9D9D9"/>
              <w:left w:val="single" w:sz="4" w:color="D9D9D9"/>
              <w:bottom w:val="single" w:sz="4" w:color="D9D9D9"/>
              <w:right w:val="single" w:sz="4" w:color="D9D9D9"/>
              <w:insideH w:val="single" w:sz="4" w:color="D9D9D9"/>
              <w:insideV w:val="single" w:sz="4" w:color="D9D9D9"/>
            </w:tcBorders>
            <w:shd w:fill="F3F6FA"/>
          </w:tcPr>
          <w:p>
            <w:pPr>
              <w:spacing w:after="0" w:before="0"/>
            </w:pPr>
            <w:r>
              <w:rPr>
                <w:sz w:val="18"/>
              </w:rPr>
              <w:t>________________</w:t>
            </w:r>
          </w:p>
        </w:tc>
      </w:tr>
      <w:tr>
        <w:tc>
          <w:tcPr>
            <w:tcW w:type="dxa" w:w="2592"/>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0" w:before="0"/>
            </w:pPr>
            <w:r>
              <w:rPr>
                <w:sz w:val="18"/>
              </w:rPr>
              <w:t>Número o cuenta conectada</w:t>
            </w:r>
          </w:p>
        </w:tc>
        <w:tc>
          <w:tcPr>
            <w:tcW w:type="dxa" w:w="7056"/>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0" w:before="0"/>
            </w:pPr>
            <w:r>
              <w:rPr>
                <w:sz w:val="18"/>
              </w:rPr>
              <w:t>____________________________________________</w:t>
            </w:r>
          </w:p>
        </w:tc>
      </w:tr>
    </w:tbl>
    <w:p>
      <w:pPr>
        <w:spacing w:after="20"/>
      </w:pPr>
    </w:p>
    <w:p>
      <w:pPr>
        <w:pStyle w:val="Heading2"/>
      </w:pPr>
      <w:r>
        <w:t>Límites comerciales de referencia</w:t>
      </w:r>
    </w:p>
    <w:tbl>
      <w:tblPr>
        <w:tblW w:type="auto" w:w="0"/>
        <w:jc w:val="center"/>
        <w:tblLayout w:type="fixed"/>
        <w:tblLook w:firstColumn="1" w:firstRow="1" w:lastColumn="0" w:lastRow="0" w:noHBand="0" w:noVBand="1" w:val="04A0"/>
      </w:tblPr>
      <w:tblGrid>
        <w:gridCol w:w="1976"/>
        <w:gridCol w:w="1976"/>
        <w:gridCol w:w="1976"/>
        <w:gridCol w:w="1976"/>
        <w:gridCol w:w="1976"/>
      </w:tblGrid>
      <w:tr>
        <w:trPr>
          <w:tblHeader/>
        </w:trPr>
        <w:tc>
          <w:tcPr>
            <w:tcW w:type="dxa" w:w="1584"/>
            <w:vAlign w:val="center"/>
            <w:tcBorders>
              <w:top w:val="single" w:sz="4" w:color="D9D9D9"/>
              <w:left w:val="single" w:sz="4" w:color="D9D9D9"/>
              <w:bottom w:val="single" w:sz="4" w:color="D9D9D9"/>
              <w:right w:val="single" w:sz="4" w:color="D9D9D9"/>
              <w:insideH w:val="single" w:sz="4" w:color="D9D9D9"/>
              <w:insideV w:val="single" w:sz="4" w:color="D9D9D9"/>
            </w:tcBorders>
            <w:shd w:fill="17365D"/>
          </w:tcPr>
          <w:p>
            <w:pPr>
              <w:spacing w:after="0" w:before="0"/>
            </w:pPr>
            <w:r>
              <w:rPr>
                <w:b/>
                <w:color w:val="FFFFFF"/>
                <w:sz w:val="18"/>
              </w:rPr>
              <w:t>Plan</w:t>
            </w:r>
          </w:p>
        </w:tc>
        <w:tc>
          <w:tcPr>
            <w:tcW w:type="dxa" w:w="2088"/>
            <w:vAlign w:val="center"/>
            <w:tcBorders>
              <w:top w:val="single" w:sz="4" w:color="D9D9D9"/>
              <w:left w:val="single" w:sz="4" w:color="D9D9D9"/>
              <w:bottom w:val="single" w:sz="4" w:color="D9D9D9"/>
              <w:right w:val="single" w:sz="4" w:color="D9D9D9"/>
              <w:insideH w:val="single" w:sz="4" w:color="D9D9D9"/>
              <w:insideV w:val="single" w:sz="4" w:color="D9D9D9"/>
            </w:tcBorders>
            <w:shd w:fill="17365D"/>
          </w:tcPr>
          <w:p>
            <w:pPr>
              <w:spacing w:after="0" w:before="0"/>
            </w:pPr>
            <w:r>
              <w:rPr>
                <w:b/>
                <w:color w:val="FFFFFF"/>
                <w:sz w:val="18"/>
              </w:rPr>
              <w:t>Conversaciones al mes</w:t>
            </w:r>
          </w:p>
        </w:tc>
        <w:tc>
          <w:tcPr>
            <w:tcW w:type="dxa" w:w="1944"/>
            <w:vAlign w:val="center"/>
            <w:tcBorders>
              <w:top w:val="single" w:sz="4" w:color="D9D9D9"/>
              <w:left w:val="single" w:sz="4" w:color="D9D9D9"/>
              <w:bottom w:val="single" w:sz="4" w:color="D9D9D9"/>
              <w:right w:val="single" w:sz="4" w:color="D9D9D9"/>
              <w:insideH w:val="single" w:sz="4" w:color="D9D9D9"/>
              <w:insideV w:val="single" w:sz="4" w:color="D9D9D9"/>
            </w:tcBorders>
            <w:shd w:fill="17365D"/>
          </w:tcPr>
          <w:p>
            <w:pPr>
              <w:spacing w:after="0" w:before="0"/>
            </w:pPr>
            <w:r>
              <w:rPr>
                <w:b/>
                <w:color w:val="FFFFFF"/>
                <w:sz w:val="18"/>
              </w:rPr>
              <w:t>Notificaciones</w:t>
            </w:r>
          </w:p>
        </w:tc>
        <w:tc>
          <w:tcPr>
            <w:tcW w:type="dxa" w:w="2088"/>
            <w:vAlign w:val="center"/>
            <w:tcBorders>
              <w:top w:val="single" w:sz="4" w:color="D9D9D9"/>
              <w:left w:val="single" w:sz="4" w:color="D9D9D9"/>
              <w:bottom w:val="single" w:sz="4" w:color="D9D9D9"/>
              <w:right w:val="single" w:sz="4" w:color="D9D9D9"/>
              <w:insideH w:val="single" w:sz="4" w:color="D9D9D9"/>
              <w:insideV w:val="single" w:sz="4" w:color="D9D9D9"/>
            </w:tcBorders>
            <w:shd w:fill="17365D"/>
          </w:tcPr>
          <w:p>
            <w:pPr>
              <w:spacing w:after="0" w:before="0"/>
            </w:pPr>
            <w:r>
              <w:rPr>
                <w:b/>
                <w:color w:val="FFFFFF"/>
                <w:sz w:val="18"/>
              </w:rPr>
              <w:t>Minutos de llamada</w:t>
            </w:r>
          </w:p>
        </w:tc>
        <w:tc>
          <w:tcPr>
            <w:tcW w:type="dxa" w:w="1944"/>
            <w:vAlign w:val="center"/>
            <w:tcBorders>
              <w:top w:val="single" w:sz="4" w:color="D9D9D9"/>
              <w:left w:val="single" w:sz="4" w:color="D9D9D9"/>
              <w:bottom w:val="single" w:sz="4" w:color="D9D9D9"/>
              <w:right w:val="single" w:sz="4" w:color="D9D9D9"/>
              <w:insideH w:val="single" w:sz="4" w:color="D9D9D9"/>
              <w:insideV w:val="single" w:sz="4" w:color="D9D9D9"/>
            </w:tcBorders>
            <w:shd w:fill="17365D"/>
          </w:tcPr>
          <w:p>
            <w:pPr>
              <w:spacing w:after="0" w:before="0"/>
            </w:pPr>
            <w:r>
              <w:rPr>
                <w:b/>
                <w:color w:val="FFFFFF"/>
                <w:sz w:val="18"/>
              </w:rPr>
              <w:t>Personalización</w:t>
            </w:r>
          </w:p>
        </w:tc>
      </w:tr>
      <w:tr>
        <w:tc>
          <w:tcPr>
            <w:tcW w:type="dxa" w:w="1584"/>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0" w:before="0"/>
            </w:pPr>
            <w:r>
              <w:rPr>
                <w:sz w:val="18"/>
              </w:rPr>
              <w:t>Esencial</w:t>
            </w:r>
          </w:p>
        </w:tc>
        <w:tc>
          <w:tcPr>
            <w:tcW w:type="dxa" w:w="2088"/>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0" w:before="0"/>
            </w:pPr>
            <w:r>
              <w:rPr>
                <w:sz w:val="18"/>
              </w:rPr>
              <w:t>Hasta 1,000</w:t>
            </w:r>
          </w:p>
        </w:tc>
        <w:tc>
          <w:tcPr>
            <w:tcW w:type="dxa" w:w="1944"/>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0" w:before="0"/>
            </w:pPr>
            <w:r>
              <w:rPr>
                <w:sz w:val="18"/>
              </w:rPr>
              <w:t>Según cotización</w:t>
            </w:r>
          </w:p>
        </w:tc>
        <w:tc>
          <w:tcPr>
            <w:tcW w:type="dxa" w:w="2088"/>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0" w:before="0"/>
            </w:pPr>
            <w:r>
              <w:rPr>
                <w:sz w:val="18"/>
              </w:rPr>
              <w:t>No incluido</w:t>
            </w:r>
          </w:p>
        </w:tc>
        <w:tc>
          <w:tcPr>
            <w:tcW w:type="dxa" w:w="1944"/>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0" w:before="0"/>
            </w:pPr>
            <w:r>
              <w:rPr>
                <w:sz w:val="18"/>
              </w:rPr>
              <w:t>Configuración</w:t>
            </w:r>
          </w:p>
        </w:tc>
      </w:tr>
      <w:tr>
        <w:tc>
          <w:tcPr>
            <w:tcW w:type="dxa" w:w="1584"/>
            <w:vAlign w:val="center"/>
            <w:tcBorders>
              <w:top w:val="single" w:sz="4" w:color="D9D9D9"/>
              <w:left w:val="single" w:sz="4" w:color="D9D9D9"/>
              <w:bottom w:val="single" w:sz="4" w:color="D9D9D9"/>
              <w:right w:val="single" w:sz="4" w:color="D9D9D9"/>
              <w:insideH w:val="single" w:sz="4" w:color="D9D9D9"/>
              <w:insideV w:val="single" w:sz="4" w:color="D9D9D9"/>
            </w:tcBorders>
            <w:shd w:fill="F3F6FA"/>
          </w:tcPr>
          <w:p>
            <w:pPr>
              <w:spacing w:after="0" w:before="0"/>
            </w:pPr>
            <w:r>
              <w:rPr>
                <w:sz w:val="18"/>
              </w:rPr>
              <w:t>Negocio</w:t>
            </w:r>
          </w:p>
        </w:tc>
        <w:tc>
          <w:tcPr>
            <w:tcW w:type="dxa" w:w="2088"/>
            <w:vAlign w:val="center"/>
            <w:tcBorders>
              <w:top w:val="single" w:sz="4" w:color="D9D9D9"/>
              <w:left w:val="single" w:sz="4" w:color="D9D9D9"/>
              <w:bottom w:val="single" w:sz="4" w:color="D9D9D9"/>
              <w:right w:val="single" w:sz="4" w:color="D9D9D9"/>
              <w:insideH w:val="single" w:sz="4" w:color="D9D9D9"/>
              <w:insideV w:val="single" w:sz="4" w:color="D9D9D9"/>
            </w:tcBorders>
            <w:shd w:fill="F3F6FA"/>
          </w:tcPr>
          <w:p>
            <w:pPr>
              <w:spacing w:after="0" w:before="0"/>
            </w:pPr>
            <w:r>
              <w:rPr>
                <w:sz w:val="18"/>
              </w:rPr>
              <w:t>Hasta 3,000</w:t>
            </w:r>
          </w:p>
        </w:tc>
        <w:tc>
          <w:tcPr>
            <w:tcW w:type="dxa" w:w="1944"/>
            <w:vAlign w:val="center"/>
            <w:tcBorders>
              <w:top w:val="single" w:sz="4" w:color="D9D9D9"/>
              <w:left w:val="single" w:sz="4" w:color="D9D9D9"/>
              <w:bottom w:val="single" w:sz="4" w:color="D9D9D9"/>
              <w:right w:val="single" w:sz="4" w:color="D9D9D9"/>
              <w:insideH w:val="single" w:sz="4" w:color="D9D9D9"/>
              <w:insideV w:val="single" w:sz="4" w:color="D9D9D9"/>
            </w:tcBorders>
            <w:shd w:fill="F3F6FA"/>
          </w:tcPr>
          <w:p>
            <w:pPr>
              <w:spacing w:after="0" w:before="0"/>
            </w:pPr>
            <w:r>
              <w:rPr>
                <w:sz w:val="18"/>
              </w:rPr>
              <w:t>Hasta 300</w:t>
            </w:r>
          </w:p>
        </w:tc>
        <w:tc>
          <w:tcPr>
            <w:tcW w:type="dxa" w:w="2088"/>
            <w:vAlign w:val="center"/>
            <w:tcBorders>
              <w:top w:val="single" w:sz="4" w:color="D9D9D9"/>
              <w:left w:val="single" w:sz="4" w:color="D9D9D9"/>
              <w:bottom w:val="single" w:sz="4" w:color="D9D9D9"/>
              <w:right w:val="single" w:sz="4" w:color="D9D9D9"/>
              <w:insideH w:val="single" w:sz="4" w:color="D9D9D9"/>
              <w:insideV w:val="single" w:sz="4" w:color="D9D9D9"/>
            </w:tcBorders>
            <w:shd w:fill="F3F6FA"/>
          </w:tcPr>
          <w:p>
            <w:pPr>
              <w:spacing w:after="0" w:before="0"/>
            </w:pPr>
            <w:r>
              <w:rPr>
                <w:sz w:val="18"/>
              </w:rPr>
              <w:t>Hasta 150</w:t>
            </w:r>
          </w:p>
        </w:tc>
        <w:tc>
          <w:tcPr>
            <w:tcW w:type="dxa" w:w="1944"/>
            <w:vAlign w:val="center"/>
            <w:tcBorders>
              <w:top w:val="single" w:sz="4" w:color="D9D9D9"/>
              <w:left w:val="single" w:sz="4" w:color="D9D9D9"/>
              <w:bottom w:val="single" w:sz="4" w:color="D9D9D9"/>
              <w:right w:val="single" w:sz="4" w:color="D9D9D9"/>
              <w:insideH w:val="single" w:sz="4" w:color="D9D9D9"/>
              <w:insideV w:val="single" w:sz="4" w:color="D9D9D9"/>
            </w:tcBorders>
            <w:shd w:fill="F3F6FA"/>
          </w:tcPr>
          <w:p>
            <w:pPr>
              <w:spacing w:after="0" w:before="0"/>
            </w:pPr>
            <w:r>
              <w:rPr>
                <w:sz w:val="18"/>
              </w:rPr>
              <w:t>Ampliada</w:t>
            </w:r>
          </w:p>
        </w:tc>
      </w:tr>
      <w:tr>
        <w:tc>
          <w:tcPr>
            <w:tcW w:type="dxa" w:w="1584"/>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0" w:before="0"/>
            </w:pPr>
            <w:r>
              <w:rPr>
                <w:sz w:val="18"/>
              </w:rPr>
              <w:t>Pro</w:t>
            </w:r>
          </w:p>
        </w:tc>
        <w:tc>
          <w:tcPr>
            <w:tcW w:type="dxa" w:w="2088"/>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0" w:before="0"/>
            </w:pPr>
            <w:r>
              <w:rPr>
                <w:sz w:val="18"/>
              </w:rPr>
              <w:t>Hasta 8,000</w:t>
            </w:r>
          </w:p>
        </w:tc>
        <w:tc>
          <w:tcPr>
            <w:tcW w:type="dxa" w:w="1944"/>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0" w:before="0"/>
            </w:pPr>
            <w:r>
              <w:rPr>
                <w:sz w:val="18"/>
              </w:rPr>
              <w:t>Según cotización</w:t>
            </w:r>
          </w:p>
        </w:tc>
        <w:tc>
          <w:tcPr>
            <w:tcW w:type="dxa" w:w="2088"/>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0" w:before="0"/>
            </w:pPr>
            <w:r>
              <w:rPr>
                <w:sz w:val="18"/>
              </w:rPr>
              <w:t>Según cotización</w:t>
            </w:r>
          </w:p>
        </w:tc>
        <w:tc>
          <w:tcPr>
            <w:tcW w:type="dxa" w:w="1944"/>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0" w:before="0"/>
            </w:pPr>
            <w:r>
              <w:rPr>
                <w:sz w:val="18"/>
              </w:rPr>
              <w:t>Avanzada</w:t>
            </w:r>
          </w:p>
        </w:tc>
      </w:tr>
    </w:tbl>
    <w:p>
      <w:pPr>
        <w:spacing w:after="20"/>
      </w:pPr>
    </w:p>
    <w:p>
      <w:r>
        <w:t>Personalizaciones y condiciones especiales: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Responsable del consumo de Meta, telefonía u otros terceros:  ☐ Proveedor   ☐ Cliente   ☐ Incluido hasta los límites anteriores</w:t>
      </w:r>
    </w:p>
    <w:p>
      <w:r>
        <w:t>Soporte acordado: __________________________________________________________________</w:t>
      </w:r>
    </w:p>
    <w:p>
      <w:pPr>
        <w:pStyle w:val="Heading1"/>
      </w:pPr>
      <w:r>
        <w:t>Anexo B Tratamiento de datos</w:t>
      </w:r>
    </w:p>
    <w:tbl>
      <w:tblPr>
        <w:tblW w:type="auto" w:w="0"/>
        <w:jc w:val="center"/>
        <w:tblLayout w:type="fixed"/>
        <w:tblLook w:firstColumn="1" w:firstRow="1" w:lastColumn="0" w:lastRow="0" w:noHBand="0" w:noVBand="1" w:val="04A0"/>
      </w:tblPr>
      <w:tblGrid>
        <w:gridCol w:w="4939"/>
        <w:gridCol w:w="4939"/>
      </w:tblGrid>
      <w:tr>
        <w:trPr>
          <w:tblHeader/>
        </w:trPr>
        <w:tc>
          <w:tcPr>
            <w:tcW w:type="dxa" w:w="2088"/>
            <w:vAlign w:val="center"/>
            <w:tcBorders>
              <w:top w:val="single" w:sz="4" w:color="D9D9D9"/>
              <w:left w:val="single" w:sz="4" w:color="D9D9D9"/>
              <w:bottom w:val="single" w:sz="4" w:color="D9D9D9"/>
              <w:right w:val="single" w:sz="4" w:color="D9D9D9"/>
              <w:insideH w:val="single" w:sz="4" w:color="D9D9D9"/>
              <w:insideV w:val="single" w:sz="4" w:color="D9D9D9"/>
            </w:tcBorders>
            <w:shd w:fill="17365D"/>
          </w:tcPr>
          <w:p>
            <w:pPr>
              <w:spacing w:after="0" w:before="0"/>
            </w:pPr>
            <w:r>
              <w:rPr>
                <w:b/>
                <w:color w:val="FFFFFF"/>
                <w:sz w:val="18"/>
              </w:rPr>
              <w:t>Elemento</w:t>
            </w:r>
          </w:p>
        </w:tc>
        <w:tc>
          <w:tcPr>
            <w:tcW w:type="dxa" w:w="7560"/>
            <w:vAlign w:val="center"/>
            <w:tcBorders>
              <w:top w:val="single" w:sz="4" w:color="D9D9D9"/>
              <w:left w:val="single" w:sz="4" w:color="D9D9D9"/>
              <w:bottom w:val="single" w:sz="4" w:color="D9D9D9"/>
              <w:right w:val="single" w:sz="4" w:color="D9D9D9"/>
              <w:insideH w:val="single" w:sz="4" w:color="D9D9D9"/>
              <w:insideV w:val="single" w:sz="4" w:color="D9D9D9"/>
            </w:tcBorders>
            <w:shd w:fill="17365D"/>
          </w:tcPr>
          <w:p>
            <w:pPr>
              <w:spacing w:after="0" w:before="0"/>
            </w:pPr>
            <w:r>
              <w:rPr>
                <w:b/>
                <w:color w:val="FFFFFF"/>
                <w:sz w:val="18"/>
              </w:rPr>
              <w:t>Descripción</w:t>
            </w:r>
          </w:p>
        </w:tc>
      </w:tr>
      <w:tr>
        <w:tc>
          <w:tcPr>
            <w:tcW w:type="dxa" w:w="2088"/>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0" w:before="0"/>
            </w:pPr>
            <w:r>
              <w:rPr>
                <w:sz w:val="18"/>
              </w:rPr>
              <w:t>Personas</w:t>
            </w:r>
          </w:p>
        </w:tc>
        <w:tc>
          <w:tcPr>
            <w:tcW w:type="dxa" w:w="7560"/>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0" w:before="0"/>
            </w:pPr>
            <w:r>
              <w:rPr>
                <w:sz w:val="18"/>
              </w:rPr>
              <w:t>Clientes, prospectos, usuarios, empleados y contactos del Cliente.</w:t>
            </w:r>
          </w:p>
        </w:tc>
      </w:tr>
      <w:tr>
        <w:tc>
          <w:tcPr>
            <w:tcW w:type="dxa" w:w="2088"/>
            <w:vAlign w:val="center"/>
            <w:tcBorders>
              <w:top w:val="single" w:sz="4" w:color="D9D9D9"/>
              <w:left w:val="single" w:sz="4" w:color="D9D9D9"/>
              <w:bottom w:val="single" w:sz="4" w:color="D9D9D9"/>
              <w:right w:val="single" w:sz="4" w:color="D9D9D9"/>
              <w:insideH w:val="single" w:sz="4" w:color="D9D9D9"/>
              <w:insideV w:val="single" w:sz="4" w:color="D9D9D9"/>
            </w:tcBorders>
            <w:shd w:fill="F3F6FA"/>
          </w:tcPr>
          <w:p>
            <w:pPr>
              <w:spacing w:after="0" w:before="0"/>
            </w:pPr>
            <w:r>
              <w:rPr>
                <w:sz w:val="18"/>
              </w:rPr>
              <w:t>Datos</w:t>
            </w:r>
          </w:p>
        </w:tc>
        <w:tc>
          <w:tcPr>
            <w:tcW w:type="dxa" w:w="7560"/>
            <w:vAlign w:val="center"/>
            <w:tcBorders>
              <w:top w:val="single" w:sz="4" w:color="D9D9D9"/>
              <w:left w:val="single" w:sz="4" w:color="D9D9D9"/>
              <w:bottom w:val="single" w:sz="4" w:color="D9D9D9"/>
              <w:right w:val="single" w:sz="4" w:color="D9D9D9"/>
              <w:insideH w:val="single" w:sz="4" w:color="D9D9D9"/>
              <w:insideV w:val="single" w:sz="4" w:color="D9D9D9"/>
            </w:tcBorders>
            <w:shd w:fill="F3F6FA"/>
          </w:tcPr>
          <w:p>
            <w:pPr>
              <w:spacing w:after="0" w:before="0"/>
            </w:pPr>
            <w:r>
              <w:rPr>
                <w:sz w:val="18"/>
              </w:rPr>
              <w:t>Identificación, contacto, conversaciones, audios transcritos, pedidos, productos, citas y datos técnicos.</w:t>
            </w:r>
          </w:p>
        </w:tc>
      </w:tr>
      <w:tr>
        <w:tc>
          <w:tcPr>
            <w:tcW w:type="dxa" w:w="2088"/>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0" w:before="0"/>
            </w:pPr>
            <w:r>
              <w:rPr>
                <w:sz w:val="18"/>
              </w:rPr>
              <w:t>Finalidad</w:t>
            </w:r>
          </w:p>
        </w:tc>
        <w:tc>
          <w:tcPr>
            <w:tcW w:type="dxa" w:w="7560"/>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0" w:before="0"/>
            </w:pPr>
            <w:r>
              <w:rPr>
                <w:sz w:val="18"/>
              </w:rPr>
              <w:t>Operar la atención, automatización, administración, soporte, seguridad y funciones contratadas.</w:t>
            </w:r>
          </w:p>
        </w:tc>
      </w:tr>
      <w:tr>
        <w:tc>
          <w:tcPr>
            <w:tcW w:type="dxa" w:w="2088"/>
            <w:vAlign w:val="center"/>
            <w:tcBorders>
              <w:top w:val="single" w:sz="4" w:color="D9D9D9"/>
              <w:left w:val="single" w:sz="4" w:color="D9D9D9"/>
              <w:bottom w:val="single" w:sz="4" w:color="D9D9D9"/>
              <w:right w:val="single" w:sz="4" w:color="D9D9D9"/>
              <w:insideH w:val="single" w:sz="4" w:color="D9D9D9"/>
              <w:insideV w:val="single" w:sz="4" w:color="D9D9D9"/>
            </w:tcBorders>
            <w:shd w:fill="F3F6FA"/>
          </w:tcPr>
          <w:p>
            <w:pPr>
              <w:spacing w:after="0" w:before="0"/>
            </w:pPr>
            <w:r>
              <w:rPr>
                <w:sz w:val="18"/>
              </w:rPr>
              <w:t>Duración</w:t>
            </w:r>
          </w:p>
        </w:tc>
        <w:tc>
          <w:tcPr>
            <w:tcW w:type="dxa" w:w="7560"/>
            <w:vAlign w:val="center"/>
            <w:tcBorders>
              <w:top w:val="single" w:sz="4" w:color="D9D9D9"/>
              <w:left w:val="single" w:sz="4" w:color="D9D9D9"/>
              <w:bottom w:val="single" w:sz="4" w:color="D9D9D9"/>
              <w:right w:val="single" w:sz="4" w:color="D9D9D9"/>
              <w:insideH w:val="single" w:sz="4" w:color="D9D9D9"/>
              <w:insideV w:val="single" w:sz="4" w:color="D9D9D9"/>
            </w:tcBorders>
            <w:shd w:fill="F3F6FA"/>
          </w:tcPr>
          <w:p>
            <w:pPr>
              <w:spacing w:after="0" w:before="0"/>
            </w:pPr>
            <w:r>
              <w:rPr>
                <w:sz w:val="18"/>
              </w:rPr>
              <w:t>Durante la vigencia y el periodo de conservación acordado o legalmente necesario.</w:t>
            </w:r>
          </w:p>
        </w:tc>
      </w:tr>
      <w:tr>
        <w:tc>
          <w:tcPr>
            <w:tcW w:type="dxa" w:w="2088"/>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0" w:before="0"/>
            </w:pPr>
            <w:r>
              <w:rPr>
                <w:sz w:val="18"/>
              </w:rPr>
              <w:t>Subencargados</w:t>
            </w:r>
          </w:p>
        </w:tc>
        <w:tc>
          <w:tcPr>
            <w:tcW w:type="dxa" w:w="7560"/>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0" w:before="0"/>
            </w:pPr>
            <w:r>
              <w:rPr>
                <w:sz w:val="18"/>
              </w:rPr>
              <w:t>Proveedores de alojamiento, mensajería, telefonía, inteligencia artificial, correo y soporte necesarios.</w:t>
            </w:r>
          </w:p>
        </w:tc>
      </w:tr>
      <w:tr>
        <w:tc>
          <w:tcPr>
            <w:tcW w:type="dxa" w:w="2088"/>
            <w:vAlign w:val="center"/>
            <w:tcBorders>
              <w:top w:val="single" w:sz="4" w:color="D9D9D9"/>
              <w:left w:val="single" w:sz="4" w:color="D9D9D9"/>
              <w:bottom w:val="single" w:sz="4" w:color="D9D9D9"/>
              <w:right w:val="single" w:sz="4" w:color="D9D9D9"/>
              <w:insideH w:val="single" w:sz="4" w:color="D9D9D9"/>
              <w:insideV w:val="single" w:sz="4" w:color="D9D9D9"/>
            </w:tcBorders>
            <w:shd w:fill="F3F6FA"/>
          </w:tcPr>
          <w:p>
            <w:pPr>
              <w:spacing w:after="0" w:before="0"/>
            </w:pPr>
            <w:r>
              <w:rPr>
                <w:sz w:val="18"/>
              </w:rPr>
              <w:t>Instrucciones</w:t>
            </w:r>
          </w:p>
        </w:tc>
        <w:tc>
          <w:tcPr>
            <w:tcW w:type="dxa" w:w="7560"/>
            <w:vAlign w:val="center"/>
            <w:tcBorders>
              <w:top w:val="single" w:sz="4" w:color="D9D9D9"/>
              <w:left w:val="single" w:sz="4" w:color="D9D9D9"/>
              <w:bottom w:val="single" w:sz="4" w:color="D9D9D9"/>
              <w:right w:val="single" w:sz="4" w:color="D9D9D9"/>
              <w:insideH w:val="single" w:sz="4" w:color="D9D9D9"/>
              <w:insideV w:val="single" w:sz="4" w:color="D9D9D9"/>
            </w:tcBorders>
            <w:shd w:fill="F3F6FA"/>
          </w:tcPr>
          <w:p>
            <w:pPr>
              <w:spacing w:after="0" w:before="0"/>
            </w:pPr>
            <w:r>
              <w:rPr>
                <w:sz w:val="18"/>
              </w:rPr>
              <w:t>Configuración, orden de servicio, solicitudes autorizadas y documentación del Cliente.</w:t>
            </w:r>
          </w:p>
        </w:tc>
      </w:tr>
    </w:tbl>
    <w:p>
      <w:pPr>
        <w:spacing w:after="20"/>
      </w:pPr>
    </w:p>
    <w:p>
      <w:r>
        <w:t>El Proveedor notificará al Cliente incidentes confirmados que afecten materialmente los datos encomendados, colaborará razonablemente con solicitudes de derechos y eliminará o devolverá información conforme a instrucciones válidas, capacidades técnicas y obligaciones legales. El Cliente no incorporará datos sensibles salvo acuerdo y controles específicos.</w:t>
      </w:r>
    </w:p>
    <w:p>
      <w:pPr>
        <w:pStyle w:val="Heading1"/>
      </w:pPr>
      <w:r>
        <w:t>Firmas</w:t>
      </w:r>
    </w:p>
    <w:p>
      <w:r>
        <w:t>Leído el contrato y sus anexos, las partes manifiestan su conformidad y firman en ________________________________, a ____ de __________________ de ________.</w:t>
      </w:r>
    </w:p>
    <w:tbl>
      <w:tblPr>
        <w:tblW w:type="auto" w:w="0"/>
        <w:jc w:val="center"/>
        <w:tblLayout w:type="fixed"/>
        <w:tblLook w:firstColumn="1" w:firstRow="1" w:lastColumn="0" w:lastRow="0" w:noHBand="0" w:noVBand="1" w:val="04A0"/>
      </w:tblPr>
      <w:tblGrid>
        <w:gridCol w:w="4939"/>
        <w:gridCol w:w="4939"/>
      </w:tblGrid>
      <w:tr>
        <w:trPr>
          <w:tblHeader/>
        </w:trPr>
        <w:tc>
          <w:tcPr>
            <w:tcW w:type="dxa" w:w="4752"/>
            <w:vAlign w:val="center"/>
            <w:tcBorders>
              <w:top w:val="single" w:sz="4" w:color="D9D9D9"/>
              <w:left w:val="single" w:sz="4" w:color="D9D9D9"/>
              <w:bottom w:val="single" w:sz="4" w:color="D9D9D9"/>
              <w:right w:val="single" w:sz="4" w:color="D9D9D9"/>
              <w:insideH w:val="single" w:sz="4" w:color="D9D9D9"/>
              <w:insideV w:val="single" w:sz="4" w:color="D9D9D9"/>
            </w:tcBorders>
            <w:shd w:fill="17365D"/>
          </w:tcPr>
          <w:p>
            <w:pPr>
              <w:spacing w:after="0" w:before="0"/>
            </w:pPr>
            <w:r>
              <w:rPr>
                <w:b/>
                <w:color w:val="FFFFFF"/>
                <w:sz w:val="18"/>
              </w:rPr>
              <w:t>Por el Proveedor</w:t>
            </w:r>
          </w:p>
        </w:tc>
        <w:tc>
          <w:tcPr>
            <w:tcW w:type="dxa" w:w="4752"/>
            <w:vAlign w:val="center"/>
            <w:tcBorders>
              <w:top w:val="single" w:sz="4" w:color="D9D9D9"/>
              <w:left w:val="single" w:sz="4" w:color="D9D9D9"/>
              <w:bottom w:val="single" w:sz="4" w:color="D9D9D9"/>
              <w:right w:val="single" w:sz="4" w:color="D9D9D9"/>
              <w:insideH w:val="single" w:sz="4" w:color="D9D9D9"/>
              <w:insideV w:val="single" w:sz="4" w:color="D9D9D9"/>
            </w:tcBorders>
            <w:shd w:fill="17365D"/>
          </w:tcPr>
          <w:p>
            <w:pPr>
              <w:spacing w:after="0" w:before="0"/>
            </w:pPr>
            <w:r>
              <w:rPr>
                <w:b/>
                <w:color w:val="FFFFFF"/>
                <w:sz w:val="18"/>
              </w:rPr>
              <w:t>Por el Cliente</w:t>
            </w:r>
          </w:p>
        </w:tc>
      </w:tr>
      <w:tr>
        <w:tc>
          <w:tcPr>
            <w:tcW w:type="dxa" w:w="4752"/>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0" w:before="0"/>
            </w:pPr>
            <w:r>
              <w:rPr>
                <w:sz w:val="18"/>
              </w:rPr>
              <w:br/>
              <w:br/>
              <w:t>________________________________</w:t>
              <w:br/>
              <w:t>Nombre y firma</w:t>
              <w:br/>
              <w:br/>
              <w:t>Fecha: __________________________</w:t>
            </w:r>
          </w:p>
        </w:tc>
        <w:tc>
          <w:tcPr>
            <w:tcW w:type="dxa" w:w="4752"/>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0" w:before="0"/>
            </w:pPr>
            <w:r>
              <w:rPr>
                <w:sz w:val="18"/>
              </w:rPr>
              <w:br/>
              <w:br/>
              <w:t>________________________________</w:t>
              <w:br/>
              <w:t>Nombre y firma</w:t>
              <w:br/>
              <w:br/>
              <w:t>Fecha: __________________________</w:t>
            </w:r>
          </w:p>
        </w:tc>
      </w:tr>
    </w:tbl>
    <w:p>
      <w:pPr>
        <w:spacing w:after="20"/>
      </w:pPr>
    </w:p>
    <w:sectPr w:rsidR="00FC693F" w:rsidRPr="0006063C" w:rsidSect="00034616">
      <w:headerReference w:type="default" r:id="rId9"/>
      <w:footerReference w:type="default" r:id="rId10"/>
      <w:pgSz w:w="12240" w:h="15840"/>
      <w:pgMar w:top="1037"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F6978"/>
        <w:sz w:val="16"/>
      </w:rPr>
      <w:t>LEX  |  Contrato de servicios tecnológicos y licencia de uso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438912" cy="438912"/>
          <wp:docPr id="1" name="Picture 1"/>
          <wp:cNvGraphicFramePr>
            <a:graphicFrameLocks noChangeAspect="1"/>
          </wp:cNvGraphicFramePr>
          <a:graphic>
            <a:graphicData uri="http://schemas.openxmlformats.org/drawingml/2006/picture">
              <pic:pic>
                <pic:nvPicPr>
                  <pic:cNvPr id="0" name="lex-logo.png"/>
                  <pic:cNvPicPr/>
                </pic:nvPicPr>
                <pic:blipFill>
                  <a:blip r:embed="rId1"/>
                  <a:stretch>
                    <a:fillRect/>
                  </a:stretch>
                </pic:blipFill>
                <pic:spPr>
                  <a:xfrm>
                    <a:off x="0" y="0"/>
                    <a:ext cx="438912" cy="438912"/>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ascii="Aptos Display" w:hAnsi="Aptos Display"/>
      <w:b/>
      <w:bCs/>
      <w:color w:val="000000"/>
      <w:sz w:val="27"/>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80" w:line="240" w:lineRule="auto" w:before="0"/>
      <w:contextualSpacing/>
    </w:pPr>
    <w:rPr>
      <w:rFonts w:asciiTheme="majorHAnsi" w:eastAsiaTheme="majorEastAsia" w:hAnsiTheme="majorHAnsi" w:cstheme="majorBidi" w:ascii="Aptos Display" w:hAnsi="Aptos Display"/>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prestación de servicios tecnológicos y licencia de uso de LEX</dc:title>
  <dc:subject>Contrato empresarial para el uso de la plataforma LEX</dc:subject>
  <dc:creator>LEX</dc:creator>
  <cp:keywords/>
  <dc:description>generated by python-docx</dc:description>
  <cp:lastModifiedBy/>
  <cp:revision>1</cp:revision>
  <dcterms:created xsi:type="dcterms:W3CDTF">2013-12-23T23:15:00Z</dcterms:created>
  <dcterms:modified xsi:type="dcterms:W3CDTF">2013-12-23T23:15:00Z</dcterms:modified>
  <cp:category/>
</cp:coreProperties>
</file>